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9, 2026 (October 7, 2026)</w:t>
      </w:r>
    </w:p>
    <w:tbl>
      <w:tblPr>
        <w:tblW w:w="9057" w:type="dxa"/>
        <w:jc w:val="center"/>
        <w:tblInd w:w="0" w:type="dxa"/>
        <w:tblLayout w:type="fixed"/>
        <w:tblCellMar>
          <w:top w:w="28" w:type="dxa"/>
          <w:left w:w="28" w:type="dxa"/>
          <w:bottom w:w="28" w:type="dxa"/>
          <w:right w:w="28" w:type="dxa"/>
        </w:tblCellMar>
      </w:tblPr>
      <w:tblGrid>
        <w:gridCol w:w="564"/>
        <w:gridCol w:w="496"/>
        <w:gridCol w:w="497"/>
        <w:gridCol w:w="433"/>
        <w:gridCol w:w="433"/>
        <w:gridCol w:w="441"/>
        <w:gridCol w:w="1054"/>
        <w:gridCol w:w="1054"/>
        <w:gridCol w:w="1056"/>
        <w:gridCol w:w="884"/>
        <w:gridCol w:w="884"/>
        <w:gridCol w:w="1261"/>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Victoria's Secret &amp; Co.</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001-40515</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Limited Parkway East</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Reynoldsburg,</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577-7000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VSXY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00"/>
        <w:jc w:val="left"/>
        <w:rPr/>
      </w:pPr>
      <w:r>
        <w:rPr>
          <w:rFonts w:ascii="Times New Roman;serif" w:hAnsi="Times New Roman;serif"/>
          <w:b w:val="false"/>
          <w:color w:val="000000"/>
          <w:sz w:val="20"/>
        </w:rPr>
        <w:t>On October 9, 2026, Victoria’s Secret &amp; Co. (the “Company”) announced that Melinda McAfee, Chief Legal and Compliance Officer, will be leaving the Company, effective March 31, 2027.</w:t>
      </w:r>
      <w:r>
        <w:rPr>
          <w:color w:val="000000"/>
        </w:rPr>
        <w:t xml:space="preserve"> </w:t>
      </w:r>
      <w:r>
        <w:rPr>
          <w:rFonts w:ascii="Times New Roman;serif" w:hAnsi="Times New Roman;serif"/>
          <w:b w:val="false"/>
          <w:color w:val="000000"/>
          <w:sz w:val="20"/>
        </w:rPr>
        <w:t>The Company has initiated a search for a successor.</w:t>
      </w:r>
      <w:r>
        <w:rPr>
          <w:color w:val="000000"/>
        </w:rPr>
        <w:t xml:space="preserve"> </w:t>
      </w:r>
      <w:r>
        <w:rPr>
          <w:rFonts w:ascii="Times New Roman;serif" w:hAnsi="Times New Roman;serif"/>
          <w:b w:val="false"/>
          <w:color w:val="000000"/>
          <w:sz w:val="20"/>
        </w:rPr>
        <w:t>The Company and its Board of Directors thank Ms. McAfee for her many contributions to the Company over the past more than five years.</w:t>
      </w:r>
    </w:p>
    <w:p>
      <w:pPr>
        <w:pStyle w:val="TextBody"/>
        <w:bidi w:val="0"/>
        <w:spacing w:lineRule="auto" w:line="288" w:before="0" w:after="200"/>
        <w:jc w:val="left"/>
        <w:rPr/>
      </w:pPr>
      <w:r>
        <w:rPr>
          <w:rFonts w:ascii="Times New Roman;serif" w:hAnsi="Times New Roman;serif"/>
          <w:b w:val="false"/>
          <w:color w:val="000000"/>
          <w:sz w:val="20"/>
        </w:rPr>
        <w:t>The Company has entered into a Transition and Separation Agreement dated October 7, 2026 with Ms. McAfee.</w:t>
      </w:r>
      <w:r>
        <w:rPr>
          <w:color w:val="000000"/>
        </w:rPr>
        <w:t xml:space="preserve"> </w:t>
      </w:r>
      <w:r>
        <w:rPr>
          <w:rFonts w:ascii="Times New Roman;serif" w:hAnsi="Times New Roman;serif"/>
          <w:b w:val="false"/>
          <w:color w:val="000000"/>
          <w:sz w:val="20"/>
        </w:rPr>
        <w:t>Under the agreement, Ms. McAfee will retain her current role until a successor Chief Legal Officer has been appointed, and during such period, she will be entitled to receive the same compensation and benefits as are currently in effect. Thereafter, Ms. McAfee will remain employed by the Company in a non-executive capacity until March 31, 2027 to enable a smooth transition of responsibilities.</w:t>
      </w:r>
      <w:r>
        <w:rPr>
          <w:color w:val="000000"/>
        </w:rPr>
        <w:t xml:space="preserve"> </w:t>
      </w:r>
      <w:r>
        <w:rPr>
          <w:rFonts w:ascii="Times New Roman;serif" w:hAnsi="Times New Roman;serif"/>
          <w:b w:val="false"/>
          <w:color w:val="000000"/>
          <w:sz w:val="20"/>
        </w:rPr>
        <w:t>Additionally, Ms. McAfee will be entitled to receive the severance benefits provided under Section 4 of the Executive Severance Agreement, dated June 29, 2021, between her and the Company, a copy of which is filed as Exhibit 10.12 to the Company’s Annual Report on Form 10-K for the fiscal year ended January 31, 2026, subject to her execution of a full release of claims and continued compliance with certain restrictive covenants related to confidentiality, non-solicitation and non-competition.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4"/>
        <w:gridCol w:w="3663"/>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77" w:type="dxa"/>
        <w:jc w:val="right"/>
        <w:tblInd w:w="0" w:type="dxa"/>
        <w:tblLayout w:type="fixed"/>
        <w:tblCellMar>
          <w:top w:w="28" w:type="dxa"/>
          <w:left w:w="28" w:type="dxa"/>
          <w:bottom w:w="28" w:type="dxa"/>
          <w:right w:w="28" w:type="dxa"/>
        </w:tblCellMar>
      </w:tblPr>
      <w:tblGrid>
        <w:gridCol w:w="200"/>
        <w:gridCol w:w="177"/>
        <w:gridCol w:w="178"/>
        <w:gridCol w:w="469"/>
        <w:gridCol w:w="469"/>
        <w:gridCol w:w="471"/>
        <w:gridCol w:w="134"/>
        <w:gridCol w:w="134"/>
        <w:gridCol w:w="13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3391</Characters>
  <CharactersWithSpaces>3958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