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VSXY</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2, 2026, Victoria’s Secret &amp; Co. issued a press release setting forth its first quarter 2026 results and its second quarter and updated full year 2026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of Victoria’s Secret &amp; Co., dated June 2, 2026.</w:t>
            </w:r>
          </w:p>
        </w:tc>
      </w:tr>
      <w:tr>
        <w:trPr>
          <w:trHeight w:val="304"/>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2005"/>
        </w:trPr>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Victoria’s Secret &amp; Co. Reports First Quarter 2026 Results</w:t>
      </w: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Net Sales Increased 15% to $1.560 Billion, Exceeding Guidance</w:t>
      </w:r>
    </w:p>
    <w:p>
      <w:pPr>
        <w:spacing w:after="0" w:line="73" w:lineRule="exact"/>
        <w:rPr>
          <w:rFonts w:ascii="Times New Roman" w:cs="Times New Roman" w:eastAsia="Times New Roman" w:hAnsi="Times New Roman"/>
          <w:sz w:val="23"/>
          <w:szCs w:val="23"/>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Operating Income Increased to $76 Million; Adjusted Operating Income of $80 Million Exceeds Guidance</w:t>
      </w:r>
    </w:p>
    <w:p>
      <w:pPr>
        <w:spacing w:after="0" w:line="59" w:lineRule="exact"/>
        <w:rPr>
          <w:rFonts w:ascii="Times New Roman" w:cs="Times New Roman" w:eastAsia="Times New Roman" w:hAnsi="Times New Roman"/>
          <w:sz w:val="23"/>
          <w:szCs w:val="23"/>
          <w:b w:val="1"/>
          <w:bCs w:val="1"/>
          <w:color w:val="auto"/>
        </w:rPr>
      </w:pPr>
    </w:p>
    <w:p>
      <w:pPr>
        <w:ind w:left="340" w:right="260" w:hanging="332"/>
        <w:spacing w:after="0" w:line="284" w:lineRule="auto"/>
        <w:tabs>
          <w:tab w:leader="none" w:pos="327"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VS&amp;Co Raises Full Year 2026 Net Sales Guidance to $7.030-$7.130 Billion and Adjusted Operating Income Guidance to $550-$580 Million</w:t>
      </w:r>
    </w:p>
    <w:p>
      <w:pPr>
        <w:spacing w:after="0" w:line="229"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2"/>
          <w:szCs w:val="22"/>
          <w:color w:val="auto"/>
        </w:rPr>
        <w:t>Reynoldsburg, Ohio (June 2, 2026)</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VSXY) today reported financial results for the first quarter ended May 2, 2026.</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Hillary Super, VS&amp;Co Chief Executive Officer, said, “We delivered a very strong start to 2026, exceeding top- and bottom-line guidance and continuing the momentum we built in the back half of last year. We drove double-digit sales growth across Victoria’s Secret, PINK, and Beauty, as well as our fourth consecutive quarter of positive comps. Our customer responded strongly to our product innovation, emotionally resonant storytelling, and distinct brand projection, driving double-digit growth in new customer acquisition, increased regular-price selling, and broad-based strength across categories, channels, and geographies. These results reflect the progress we are making against our Path to Potential strategy as we continue to strengthen customer connection, build brand heat, and drive sustainable long-term growth.”</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Ms. Super concluded, “We are increasingly confident in the trajectory of the business. Our teams are executing with greater precision and agility, Victoria’s Secret, PINK, and Beauty are gaining cultural relevance and expanding their customer files, and we have a strong pipeline of product launches, partnerships, and brand moments ahead. We believe we are well positioned to continue building momentum and creating shareholder value.”</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Scott Sekella, VS&amp;Co Chief Financial and Operating Officer, said, “Our first quarter results reflect disciplined execution across the business, including broad-based gross margin improvement, driven by higher regular-price selling, reduced promotions, and leveraging our buying and occupancy expenses, all despite tariff headwinds. We also delivered SG&amp;A leverage versus last year’s first quarter and EPS growth that outpaced operating income growth. Given our strong first quarter performance and continued momentum in the business, we are raising our fiscal 2026 outlook and remain confident in our ability to drive profitable growth.”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 Quarter 2026 Results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reported net sales of $1.560 billion for the first quarter of 2026, an increase of 15% compared to net sales of $1.353 billion for the first quarter of 2025 and above the previously communicated guidance range of $1.490 billion to $1.525 billion. Total comparable sales for the first quarter of 2026 increased 13%.</w:t>
      </w:r>
    </w:p>
    <w:p>
      <w:pPr>
        <w:sectPr>
          <w:pgSz w:w="11900" w:h="16838" w:orient="portrait"/>
          <w:cols w:equalWidth="0" w:num="1">
            <w:col w:w="11240"/>
          </w:cols>
          <w:pgMar w:left="320" w:top="765" w:right="339" w:bottom="144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reported operating income for the first quarter of 2026 of $76 million compared to operating income of $20 million in the first quarter of 2025. Net income was $48 million, or $0.56 per diluted share, for the first quarter of 2026 compared to net loss of $2 million, or $0.02 per diluted share, for the first quarter of 2025.</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Excluding the impact of the adjusted items described at the conclusion of this press release, adjusted operating income for the first quarter of 2026 was $80 million, which was significantly above the previously communicated guidance range of $32 million to $42 million. This result compares to last year’s first quarter adjusted operating income of $32 million. Adjusted net income for the first quarter of 2026 was $51 million, or $0.60 per diluted share, which was significantly above the previously communicated guidance range of $0.20 to $0.30 per diluted share. This result compares to last year’s first quarter adjusted net income of $7 million, or $0.09 per diluted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Allocation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repurchased 2.2 million shares of the Company’s common stock for $100 million at an average price of $45.27 per share during the first quarter of 2026. The shares were repurchased under the previously announced share repurchase program approved by the Company’s Board of Directors in March 2024 which authorized the repurchase of up to $250 million of the Company’s common stock. As of May 2, 2026, $150 million remained authorized for purchase.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Second Quarter and Full Year 2026 Outlook</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 Company is forecasting net sales for the second quarter of 2026 to be in the range of $1.590 billion to $1.615 billion compared to net sales of $1.459 billion for the second quarter of 2025. At this forecasted level of net sales, operating income for the second quarter of 2026 is expected to be in the range of $90 million to $100 million compared to adjusted operating income of $55 million for the second quarter of 2025.</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is now forecasting fiscal year 2026 net sales to be in the range of $7.030 billion to $7.130 billion, an increase compared to the previously communicated guidance range of $6.850 billion to $6.950 billion, and compared to net sales of $6.553 billion in fiscal year 2025. At this forecasted level of net sales, the Company is now forecasting adjusted operating income for fiscal year 2026 to be in the range of $550 million to $580 million, an increase compared to previously communicated guidance range of $430 million to $460 million, and compared to fiscal year 2025 adjusted operating income of $403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Financial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conclusion of this press release, the Company has included a reconciliation of reported to adjusted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Victoria’s Secret &amp; Co. will conduct its first quarter earnings call at 8:30 a.m. Eastern on Tuesday, June 2, 2026. To listen, call 1-800-619-9066 (international dial-in number: 1-212-519-0836); passcode 5358727. For an audio replay, call 1-800-839-2204 (international replay number: 1-203-369-3032); passcode 2485654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ectPr>
          <w:pgSz w:w="11900" w:h="16838" w:orient="portrait"/>
          <w:cols w:equalWidth="0" w:num="1">
            <w:col w:w="11240"/>
          </w:cols>
          <w:pgMar w:left="320" w:top="7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Victoria’s Secret &amp; Co. (NYSE: VSXY)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approximately 1,420 retail stores in approximately 70 countries.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spacing w:after="0" w:line="1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policies;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and product lines successfully;</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sectPr>
          <w:pgSz w:w="11900" w:h="16838" w:orient="portrait"/>
          <w:cols w:equalWidth="0" w:num="1">
            <w:col w:w="11240"/>
          </w:cols>
          <w:pgMar w:left="320" w:top="756" w:right="339" w:bottom="1440" w:gutter="0" w:footer="0" w:header="0"/>
        </w:sectPr>
      </w:pPr>
    </w:p>
    <w:bookmarkStart w:id="6" w:name="page7"/>
    <w:bookmarkEnd w:id="6"/>
    <w:p>
      <w:pPr>
        <w:ind w:left="660" w:right="20" w:hanging="328"/>
        <w:spacing w:after="0" w:line="24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and other emerging technologies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1300" w:hanging="320"/>
        <w:spacing w:after="0" w:line="216"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 fluctuations; and</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Southeast Asia and central Ohio;</w:t>
      </w:r>
    </w:p>
    <w:p>
      <w:pPr>
        <w:ind w:left="660" w:right="2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and privacy of customer, associate, third-party and company information;</w:t>
      </w:r>
    </w:p>
    <w:p>
      <w:pPr>
        <w:ind w:left="660" w:hanging="328"/>
        <w:spacing w:after="0" w:line="216"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legal and regulatory requirements; and</w:t>
      </w: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All forward-looking statements are made only as of the date of this press release. 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2025 Annual Report on Form 10-K filed with the Securities and Exchange Commission on March 20,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investorrelations@victoria.com</w:t>
            </w:r>
          </w:p>
        </w:tc>
        <w:tc>
          <w:tcPr>
            <w:tcW w:w="27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Brooke Wilson</w:t>
            </w:r>
          </w:p>
        </w:tc>
      </w:tr>
      <w:tr>
        <w:trPr>
          <w:trHeight w:val="250"/>
        </w:trPr>
        <w:tc>
          <w:tcPr>
            <w:tcW w:w="20" w:type="dxa"/>
            <w:vAlign w:val="bottom"/>
          </w:tcPr>
          <w:p>
            <w:pPr>
              <w:spacing w:after="0"/>
              <w:rPr>
                <w:sz w:val="21"/>
                <w:szCs w:val="21"/>
                <w:color w:val="auto"/>
              </w:rPr>
            </w:pPr>
          </w:p>
        </w:tc>
        <w:tc>
          <w:tcPr>
            <w:tcW w:w="2720" w:type="dxa"/>
            <w:vAlign w:val="bottom"/>
            <w:tcBorders>
              <w:top w:val="single" w:sz="8" w:color="0000FF"/>
            </w:tcBorders>
          </w:tcPr>
          <w:p>
            <w:pPr>
              <w:spacing w:after="0"/>
              <w:rPr>
                <w:sz w:val="21"/>
                <w:szCs w:val="21"/>
                <w:color w:val="auto"/>
              </w:rPr>
            </w:pPr>
          </w:p>
        </w:tc>
        <w:tc>
          <w:tcPr>
            <w:tcW w:w="2780" w:type="dxa"/>
            <w:vAlign w:val="bottom"/>
          </w:tcPr>
          <w:p>
            <w:pPr>
              <w:spacing w:after="0"/>
              <w:rPr>
                <w:sz w:val="21"/>
                <w:szCs w:val="21"/>
                <w:color w:val="auto"/>
              </w:rPr>
            </w:pPr>
          </w:p>
        </w:tc>
        <w:tc>
          <w:tcPr>
            <w:tcW w:w="272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7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right="40" w:hanging="212"/>
        <w:spacing w:after="0" w:line="217" w:lineRule="auto"/>
        <w:tabs>
          <w:tab w:leader="none" w:pos="16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Beginning in the third quarter of 2025, direct sales in the European Union are reported in our International channel. Prior to the third quarter of 2025, direct sales in the European Union are reported in our Direct channel. Direct sales in the European Union reported in the International channel were $17 million in the first quarter of 2026.</w:t>
      </w:r>
    </w:p>
    <w:p>
      <w:pPr>
        <w:spacing w:after="0" w:line="1" w:lineRule="exact"/>
        <w:rPr>
          <w:sz w:val="20"/>
          <w:szCs w:val="20"/>
          <w:color w:val="auto"/>
        </w:rPr>
      </w:pPr>
    </w:p>
    <w:p>
      <w:pPr>
        <w:ind w:left="260" w:right="120" w:hanging="212"/>
        <w:spacing w:after="0" w:line="219" w:lineRule="auto"/>
        <w:tabs>
          <w:tab w:leader="none" w:pos="16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 partners’ sales, wholesale sales, and beginning in the third quarter of 2025 direct sales in the European Union. Prior to the third quarter of 2025, direct sales in the European Union are reported in our Direct channel. Direct sales in the European Union reported in the International channel were $17 million in the first quarter of 2026.</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First</w:t>
            </w:r>
          </w:p>
        </w:tc>
      </w:tr>
      <w:tr>
        <w:trPr>
          <w:trHeight w:val="234"/>
        </w:trPr>
        <w:tc>
          <w:tcPr>
            <w:tcW w:w="8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38"/>
        </w:trPr>
        <w:tc>
          <w:tcPr>
            <w:tcW w:w="8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30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189" w:lineRule="auto"/>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ectPr>
          <w:pgSz w:w="11900" w:h="16838" w:orient="portrait"/>
          <w:cols w:equalWidth="0" w:num="1">
            <w:col w:w="11240"/>
          </w:cols>
          <w:pgMar w:left="320" w:top="7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1/31/26</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5/2/26</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766</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790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791</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0"/>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29"/>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1,420</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five partner-operated stores at 5/2/26.</w:t>
      </w:r>
    </w:p>
    <w:p>
      <w:pPr>
        <w:sectPr>
          <w:pgSz w:w="11900" w:h="16838" w:orient="portrait"/>
          <w:cols w:equalWidth="0" w:num="1">
            <w:col w:w="11220"/>
          </w:cols>
          <w:pgMar w:left="320" w:top="77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gridSpan w:val="2"/>
          </w:tcPr>
          <w:p>
            <w:pPr>
              <w:jc w:val="center"/>
              <w:ind w:left="2971"/>
              <w:spacing w:after="0"/>
              <w:rPr>
                <w:sz w:val="20"/>
                <w:szCs w:val="20"/>
                <w:color w:val="auto"/>
              </w:rPr>
            </w:pPr>
            <w:r>
              <w:rPr>
                <w:rFonts w:ascii="Times New Roman" w:cs="Times New Roman" w:eastAsia="Times New Roman" w:hAnsi="Times New Roman"/>
                <w:sz w:val="17"/>
                <w:szCs w:val="17"/>
                <w:b w:val="1"/>
                <w:bCs w:val="1"/>
                <w:color w:val="auto"/>
                <w:w w:val="99"/>
              </w:rPr>
              <w:t>THIRTEEN WEEKS ENDED MAY 2, 2026 AND MAY 3, 2025</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1,352,949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(878,724)</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474,225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(454,440)</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(17,089)</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79,468</w:t>
            </w: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the first quarter of 2025 reflects basic shares due to the Net Loss.</w:t>
      </w:r>
    </w:p>
    <w:p>
      <w:pPr>
        <w:sectPr>
          <w:pgSz w:w="11900" w:h="16838" w:orient="portrait"/>
          <w:cols w:equalWidth="0" w:num="1">
            <w:col w:w="11240"/>
          </w:cols>
          <w:pgMar w:left="320" w:top="8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PERIODS ENDED MAY 2, 2026 AND MAY 3, 2025</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20" w:right="40"/>
        <w:spacing w:after="0" w:line="239" w:lineRule="auto"/>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net income (loss) attributable to Victoria’s Secret &amp; Co. and net income (loss) per diluted share attributable to Victoria’s Secret &amp; Co. on an adjusted basis for the reported periods provided in this release, which remove certain non-recurring, infrequent or unusual items that we believe are not indicative of the results of our ongoing operations due to their size and nature. The intangible asset amortization excluded in the first quarter of 2025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tables below reconcile the most directly comparable GAAP financial measure to each non-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GAAP financial measure.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6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First Quarter</w:t>
            </w:r>
          </w:p>
        </w:tc>
      </w:tr>
      <w:tr>
        <w:trPr>
          <w:trHeight w:val="211"/>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w:t>
            </w:r>
          </w:p>
        </w:tc>
        <w:tc>
          <w:tcPr>
            <w:tcW w:w="5140" w:type="dxa"/>
            <w:vAlign w:val="bottom"/>
            <w:tcBorders>
              <w:bottom w:val="single" w:sz="8" w:color="CCEEFF"/>
            </w:tcBorders>
            <w:gridSpan w:val="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Reported Operating Income - GAAP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w:t>
            </w:r>
          </w:p>
        </w:tc>
      </w:tr>
      <w:tr>
        <w:trPr>
          <w:trHeight w:val="219"/>
        </w:trPr>
        <w:tc>
          <w:tcPr>
            <w:tcW w:w="2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Organizational Restructuring and Other One-time Items (a)</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r>
      <w:tr>
        <w:trPr>
          <w:trHeight w:val="213"/>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916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Attributable to Victoria’s Secret &amp; Co.</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6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Reported Net Income (Loss) Attributable to Victoria’s Secret &amp; Co. - GAAP</w:t>
            </w:r>
          </w:p>
        </w:tc>
        <w:tc>
          <w:tcPr>
            <w:tcW w:w="244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47,691</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219"/>
        </w:trPr>
        <w:tc>
          <w:tcPr>
            <w:tcW w:w="2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Organizational Restructuring and Other One-time Items (a)</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r>
      <w:tr>
        <w:trPr>
          <w:trHeight w:val="213"/>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16"/>
        </w:trPr>
        <w:tc>
          <w:tcPr>
            <w:tcW w:w="2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r>
      <w:tr>
        <w:trPr>
          <w:trHeight w:val="212"/>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Adjusted Net Income Attributable to Victoria’s Secret &amp; Co.</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50,549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91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Per Diluted Share Attributable to Victoria’s Secret &amp; Co.</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auto"/>
            </w:tcBorders>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Reported Net Income (Loss) Per Diluted Share Attributable to Victoria’s Secret &amp; Co. -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3"/>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Organizational Restructuring and Other One-time Items (a)</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9"/>
        </w:trPr>
        <w:tc>
          <w:tcPr>
            <w:tcW w:w="2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0"/>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Adjusted Net Income Per Diluted Share Attributable to Victoria’s Secret &amp; Co.</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results exclude the following items:</w:t>
      </w:r>
    </w:p>
    <w:p>
      <w:pPr>
        <w:spacing w:after="0" w:line="102" w:lineRule="exact"/>
        <w:rPr>
          <w:sz w:val="20"/>
          <w:szCs w:val="20"/>
          <w:color w:val="auto"/>
        </w:rPr>
      </w:pPr>
    </w:p>
    <w:p>
      <w:pPr>
        <w:ind w:left="660" w:right="100" w:hanging="328"/>
        <w:spacing w:after="0" w:line="263" w:lineRule="auto"/>
        <w:tabs>
          <w:tab w:leader="none" w:pos="6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2026 and 2025, we recognized pre-tax net expense of $3.8 million and $5.6 million ($2.9 million and $4.2 million net of tax expense of $0.9 million and $1.4 million, respectively), $2.0 million and $1.8 million included in buying and occupancy expense and $1.8 million and $3.8 million included in general, administrative and store operating expense, related to activities to continue to restructure our executive leadership team and organizational structure, as well as other one-time items.</w:t>
      </w:r>
    </w:p>
    <w:p>
      <w:pPr>
        <w:spacing w:after="0" w:line="57" w:lineRule="exact"/>
        <w:rPr>
          <w:rFonts w:ascii="Times New Roman" w:cs="Times New Roman" w:eastAsia="Times New Roman" w:hAnsi="Times New Roman"/>
          <w:sz w:val="16"/>
          <w:szCs w:val="16"/>
          <w:color w:val="auto"/>
        </w:rPr>
      </w:pPr>
    </w:p>
    <w:p>
      <w:pPr>
        <w:ind w:left="660" w:right="940" w:hanging="328"/>
        <w:spacing w:after="0" w:line="298"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2025, we recognized amortization expense of $6.3 million ($4.7 million net of tax expense of $1.6 million) included in general, administrative and store operating expense, related to our definite-lived intangible assets.</w:t>
      </w:r>
    </w:p>
    <w:p>
      <w:pPr>
        <w:sectPr>
          <w:pgSz w:w="11900" w:h="16838" w:orient="portrait"/>
          <w:cols w:equalWidth="0" w:num="1">
            <w:col w:w="11240"/>
          </w:cols>
          <w:pgMar w:left="320" w:top="907" w:right="339" w:bottom="1440" w:gutter="0" w:footer="0" w:header="0"/>
        </w:sectPr>
      </w:pPr>
    </w:p>
    <w:bookmarkStart w:id="11" w:name="page12"/>
    <w:bookmarkEnd w:id="11"/>
    <w:p>
      <w:pPr>
        <w:jc w:val="center"/>
        <w:ind w:left="2533"/>
        <w:spacing w:after="0"/>
        <w:rPr>
          <w:sz w:val="20"/>
          <w:szCs w:val="20"/>
          <w:color w:val="auto"/>
        </w:rPr>
      </w:pPr>
      <w:r>
        <w:rPr>
          <w:rFonts w:ascii="Times New Roman" w:cs="Times New Roman" w:eastAsia="Times New Roman" w:hAnsi="Times New Roman"/>
          <w:sz w:val="17"/>
          <w:szCs w:val="17"/>
          <w:b w:val="1"/>
          <w:bCs w:val="1"/>
          <w:color w:val="auto"/>
        </w:rPr>
        <w:t>VICTORIA’S SECRET &amp; CO.</w:t>
      </w:r>
    </w:p>
    <w:p>
      <w:pPr>
        <w:spacing w:after="0" w:line="34" w:lineRule="exact"/>
        <w:rPr>
          <w:sz w:val="20"/>
          <w:szCs w:val="20"/>
          <w:color w:val="auto"/>
        </w:rPr>
      </w:pPr>
    </w:p>
    <w:p>
      <w:pPr>
        <w:jc w:val="center"/>
        <w:ind w:left="2533"/>
        <w:spacing w:after="0"/>
        <w:rPr>
          <w:sz w:val="20"/>
          <w:szCs w:val="20"/>
          <w:color w:val="auto"/>
        </w:rPr>
      </w:pPr>
      <w:r>
        <w:rPr>
          <w:rFonts w:ascii="Times New Roman" w:cs="Times New Roman" w:eastAsia="Times New Roman" w:hAnsi="Times New Roman"/>
          <w:sz w:val="17"/>
          <w:szCs w:val="17"/>
          <w:b w:val="1"/>
          <w:bCs w:val="1"/>
          <w:color w:val="auto"/>
        </w:rPr>
        <w:t>FORECASTED NON-GAAP FINANCIAL INFORMATION</w:t>
      </w:r>
    </w:p>
    <w:p>
      <w:pPr>
        <w:spacing w:after="0" w:line="34" w:lineRule="exact"/>
        <w:rPr>
          <w:sz w:val="20"/>
          <w:szCs w:val="20"/>
          <w:color w:val="auto"/>
        </w:rPr>
      </w:pPr>
    </w:p>
    <w:p>
      <w:pPr>
        <w:jc w:val="center"/>
        <w:ind w:left="2533"/>
        <w:spacing w:after="0"/>
        <w:rPr>
          <w:sz w:val="20"/>
          <w:szCs w:val="20"/>
          <w:color w:val="auto"/>
        </w:rPr>
      </w:pPr>
      <w:r>
        <w:rPr>
          <w:rFonts w:ascii="Times New Roman" w:cs="Times New Roman" w:eastAsia="Times New Roman" w:hAnsi="Times New Roman"/>
          <w:sz w:val="17"/>
          <w:szCs w:val="17"/>
          <w:b w:val="1"/>
          <w:bCs w:val="1"/>
          <w:color w:val="auto"/>
        </w:rPr>
        <w:t>FORECASTED FULL YEAR ENDING JANUARY 30, 2027</w:t>
      </w:r>
    </w:p>
    <w:p>
      <w:pPr>
        <w:spacing w:after="0" w:line="34" w:lineRule="exact"/>
        <w:rPr>
          <w:sz w:val="20"/>
          <w:szCs w:val="20"/>
          <w:color w:val="auto"/>
        </w:rPr>
      </w:pPr>
    </w:p>
    <w:p>
      <w:pPr>
        <w:jc w:val="center"/>
        <w:ind w:left="2533"/>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Forecasted GAAP to 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Forecasted Operating Income - GAAP</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Organizational Restructuring and Other One-time Item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Forecasted Adjusted Operating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b w:val="1"/>
          <w:bCs w:val="1"/>
          <w:color w:val="auto"/>
        </w:rPr>
        <w:t>Forecasted</w:t>
      </w:r>
    </w:p>
    <w:p>
      <w:pPr>
        <w:ind w:left="493"/>
        <w:spacing w:after="0" w:line="219" w:lineRule="auto"/>
        <w:rPr>
          <w:sz w:val="20"/>
          <w:szCs w:val="20"/>
          <w:color w:val="auto"/>
        </w:rPr>
      </w:pPr>
      <w:r>
        <w:rPr>
          <w:rFonts w:ascii="Times New Roman" w:cs="Times New Roman" w:eastAsia="Times New Roman" w:hAnsi="Times New Roman"/>
          <w:sz w:val="18"/>
          <w:szCs w:val="18"/>
          <w:b w:val="1"/>
          <w:bCs w:val="1"/>
          <w:color w:val="auto"/>
        </w:rPr>
        <w:t>Full Year</w:t>
      </w:r>
    </w:p>
    <w:p>
      <w:pPr>
        <w:ind w:left="673"/>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23" w:lineRule="exact"/>
        <w:rPr>
          <w:sz w:val="20"/>
          <w:szCs w:val="20"/>
          <w:color w:val="auto"/>
        </w:rPr>
      </w:pPr>
    </w:p>
    <w:p>
      <w:pPr>
        <w:ind w:left="1093" w:hanging="1093"/>
        <w:spacing w:after="0"/>
        <w:tabs>
          <w:tab w:leader="none" w:pos="109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546 to 576</w:t>
      </w:r>
    </w:p>
    <w:p>
      <w:pPr>
        <w:spacing w:after="0" w:line="32" w:lineRule="exact"/>
        <w:rPr>
          <w:rFonts w:ascii="Times New Roman" w:cs="Times New Roman" w:eastAsia="Times New Roman" w:hAnsi="Times New Roman"/>
          <w:sz w:val="16"/>
          <w:szCs w:val="16"/>
          <w:color w:val="auto"/>
        </w:rPr>
      </w:pPr>
    </w:p>
    <w:p>
      <w:pPr>
        <w:ind w:left="16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122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6" w:lineRule="exact"/>
        <w:rPr>
          <w:sz w:val="20"/>
          <w:szCs w:val="20"/>
          <w:color w:val="auto"/>
        </w:rPr>
      </w:pPr>
    </w:p>
    <w:p>
      <w:pPr>
        <w:ind w:left="1093" w:hanging="1093"/>
        <w:spacing w:after="0"/>
        <w:tabs>
          <w:tab w:leader="none" w:pos="109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550 to 580</w:t>
      </w:r>
    </w:p>
    <w:p>
      <w:pPr>
        <w:spacing w:after="0" w:line="32" w:lineRule="exact"/>
        <w:rPr>
          <w:sz w:val="20"/>
          <w:szCs w:val="20"/>
          <w:color w:val="auto"/>
        </w:rPr>
      </w:pPr>
    </w:p>
    <w:p>
      <w:pPr>
        <w:sectPr>
          <w:pgSz w:w="11900" w:h="16838" w:orient="portrait"/>
          <w:cols w:equalWidth="0" w:num="2">
            <w:col w:w="8707" w:space="720"/>
            <w:col w:w="1813"/>
          </w:cols>
          <w:pgMar w:left="320" w:top="802"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tcBorders>
            <w:shd w:val="clear" w:color="auto" w:fill="CCEEFF"/>
          </w:tcPr>
          <w:p>
            <w:pPr>
              <w:spacing w:after="0"/>
              <w:rPr>
                <w:sz w:val="22"/>
                <w:szCs w:val="22"/>
                <w:color w:val="auto"/>
              </w:rPr>
            </w:pPr>
          </w:p>
        </w:tc>
        <w:tc>
          <w:tcPr>
            <w:tcW w:w="686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92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Forecasted GAAP to Adjusted Net Income Attributable to Victoria’s Secret &amp; Co.</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Forecasted Net Income Attributable to Victoria’s Secret &amp; Co. - GAAP</w:t>
            </w:r>
          </w:p>
        </w:tc>
        <w:tc>
          <w:tcPr>
            <w:tcW w:w="6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to 382</w:t>
            </w:r>
          </w:p>
        </w:tc>
      </w:tr>
      <w:tr>
        <w:trPr>
          <w:trHeight w:val="213"/>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Organizational Restructuring and Other One-time Item (a)</w:t>
            </w:r>
          </w:p>
        </w:tc>
        <w:tc>
          <w:tcPr>
            <w:tcW w:w="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20" w:type="dxa"/>
            <w:vAlign w:val="bottom"/>
            <w:shd w:val="clear" w:color="auto" w:fill="CCEEFF"/>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6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Forecasted Adjusted Net Income Attributable to Victoria’s Secret &amp; Co.</w:t>
            </w:r>
          </w:p>
        </w:tc>
        <w:tc>
          <w:tcPr>
            <w:tcW w:w="6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 to 385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8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92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Forecasted GAAP to Adjusted Net Income Per Diluted Share Attributable to Victoria’s Secret &amp; Co.</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Forecasted Net Income Per Diluted Share Attributable to Victoria’s Secret &amp; Co. - GAAP</w:t>
            </w:r>
          </w:p>
        </w:tc>
        <w:tc>
          <w:tcPr>
            <w:tcW w:w="6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to 4.56</w:t>
            </w:r>
          </w:p>
        </w:tc>
      </w:tr>
      <w:tr>
        <w:trPr>
          <w:trHeight w:val="213"/>
        </w:trPr>
        <w:tc>
          <w:tcPr>
            <w:tcW w:w="20" w:type="dxa"/>
            <w:vAlign w:val="bottom"/>
            <w:tcBorders>
              <w:bottom w:val="single" w:sz="8" w:color="CCEEFF"/>
            </w:tcBorders>
          </w:tcPr>
          <w:p>
            <w:pPr>
              <w:spacing w:after="0"/>
              <w:rPr>
                <w:sz w:val="18"/>
                <w:szCs w:val="18"/>
                <w:color w:val="auto"/>
              </w:rPr>
            </w:pPr>
          </w:p>
        </w:tc>
        <w:tc>
          <w:tcPr>
            <w:tcW w:w="9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Organizational Restructuring and Other One-time Item (a)</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Forecasted Adjusted Net Income Per Diluted Share Attributable to Victoria’s Secret &amp; Co.</w:t>
            </w:r>
          </w:p>
        </w:tc>
        <w:tc>
          <w:tcPr>
            <w:tcW w:w="6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to 4.60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forecasted results exclude the following item:</w:t>
      </w:r>
    </w:p>
    <w:p>
      <w:pPr>
        <w:spacing w:after="0" w:line="102" w:lineRule="exact"/>
        <w:rPr>
          <w:sz w:val="20"/>
          <w:szCs w:val="20"/>
          <w:color w:val="auto"/>
        </w:rPr>
      </w:pPr>
    </w:p>
    <w:p>
      <w:pPr>
        <w:ind w:left="660" w:right="260" w:hanging="328"/>
        <w:spacing w:after="0" w:line="272" w:lineRule="auto"/>
        <w:tabs>
          <w:tab w:leader="none" w:pos="6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2026, we recognized pre-tax net expense of $3.8 million ($2.9 million net of tax expense of $0.9 million), $2.0 million included in buying and occupancy expense and $1.8 million included in general, administrative and store operating expense, related to activities to continue to restructure our executive leadership team and organizational structure, as well as another one-time item.</w:t>
      </w:r>
    </w:p>
    <w:sectPr>
      <w:pgSz w:w="11900" w:h="16838" w:orient="portrait"/>
      <w:cols w:equalWidth="0" w:num="1">
        <w:col w:w="11240"/>
      </w:cols>
      <w:pgMar w:left="320" w:top="8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2026-06-02T06:03:05Z</dcterms:created>
  <dcterms:modified xsi:type="dcterms:W3CDTF">2026-06-02T06:03:05Z</dcterms:modified>
</cp:coreProperties>
</file>